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#124</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 xml:space="preserve">          R3-24</w:t>
      </w:r>
      <w:r>
        <w:rPr>
          <w:rFonts w:hint="eastAsia" w:eastAsia="宋体"/>
          <w:b/>
          <w:color w:val="auto"/>
          <w:sz w:val="24"/>
          <w:lang w:val="en-US" w:eastAsia="zh-CN"/>
        </w:rPr>
        <w:t>3572</w:t>
      </w:r>
    </w:p>
    <w:p>
      <w:pPr>
        <w:pStyle w:val="2"/>
        <w:rPr>
          <w:rFonts w:hint="eastAsia"/>
          <w:b/>
          <w:color w:val="auto"/>
          <w:sz w:val="24"/>
          <w:lang w:val="en-US"/>
        </w:rPr>
      </w:pPr>
      <w:r>
        <w:rPr>
          <w:rFonts w:hint="eastAsia"/>
          <w:b/>
          <w:color w:val="auto"/>
          <w:sz w:val="24"/>
          <w:lang w:val="en-US"/>
        </w:rPr>
        <w:t>Fukuoka, Japan</w:t>
      </w:r>
      <w:r>
        <w:rPr>
          <w:rFonts w:hint="eastAsia" w:eastAsia="宋体"/>
          <w:b/>
          <w:color w:val="auto"/>
          <w:sz w:val="24"/>
          <w:lang w:val="en-US" w:eastAsia="zh-CN"/>
        </w:rPr>
        <w:t xml:space="preserve">, </w:t>
      </w:r>
      <w:r>
        <w:rPr>
          <w:rFonts w:hint="eastAsia"/>
          <w:b/>
          <w:color w:val="auto"/>
          <w:sz w:val="24"/>
          <w:lang w:val="en-US"/>
        </w:rPr>
        <w:t>20</w:t>
      </w:r>
      <w:r>
        <w:rPr>
          <w:rFonts w:hint="eastAsia" w:eastAsia="宋体"/>
          <w:b/>
          <w:color w:val="auto"/>
          <w:sz w:val="24"/>
          <w:lang w:val="en-US" w:eastAsia="zh-CN"/>
        </w:rPr>
        <w:t>th</w:t>
      </w:r>
      <w:r>
        <w:rPr>
          <w:rFonts w:hint="eastAsia"/>
          <w:b/>
          <w:color w:val="auto"/>
          <w:sz w:val="24"/>
          <w:lang w:val="en-US"/>
        </w:rPr>
        <w:t xml:space="preserve"> </w:t>
      </w:r>
      <w:r>
        <w:rPr>
          <w:rFonts w:hint="eastAsia" w:eastAsia="宋体"/>
          <w:b/>
          <w:color w:val="auto"/>
          <w:sz w:val="24"/>
          <w:lang w:val="en-US" w:eastAsia="zh-CN"/>
        </w:rPr>
        <w:t xml:space="preserve">- </w:t>
      </w:r>
      <w:r>
        <w:rPr>
          <w:rFonts w:hint="eastAsia"/>
          <w:b/>
          <w:color w:val="auto"/>
          <w:sz w:val="24"/>
          <w:lang w:val="en-US"/>
        </w:rPr>
        <w:t>24th May 2024</w:t>
      </w:r>
    </w:p>
    <w:p>
      <w:pPr>
        <w:pStyle w:val="2"/>
      </w:pPr>
    </w:p>
    <w:p>
      <w:pPr>
        <w:pStyle w:val="103"/>
        <w:tabs>
          <w:tab w:val="left" w:pos="1985"/>
        </w:tabs>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4</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Discussion on Rel-18 leftover issues</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The following Rel-18 leftovers of SON/MDT are addressed for Rel-19 .</w:t>
      </w:r>
    </w:p>
    <w:tbl>
      <w:tblPr>
        <w:tblStyle w:val="50"/>
        <w:tblW w:w="0" w:type="auto"/>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8" w:type="dxa"/>
          </w:tcPr>
          <w:p>
            <w:pPr>
              <w:spacing w:before="120" w:line="280" w:lineRule="atLeast"/>
              <w:rPr>
                <w:rFonts w:ascii="Times New Roman" w:hAnsi="Times New Roman" w:eastAsia="宋体" w:cs="Times New Roman"/>
                <w:i/>
                <w:iCs/>
              </w:rPr>
            </w:pPr>
            <w:r>
              <w:rPr>
                <w:rFonts w:hint="eastAsia" w:ascii="Times New Roman" w:hAnsi="Times New Roman" w:eastAsia="宋体" w:cs="Times New Roman"/>
                <w:i/>
                <w:iCs/>
              </w:rPr>
              <w:t>- Support of the leftovers in Rel-18 SON/MDT [RAN3, RAN2]:</w:t>
            </w:r>
          </w:p>
          <w:p>
            <w:pPr>
              <w:numPr>
                <w:ilvl w:val="0"/>
                <w:numId w:val="11"/>
              </w:numPr>
              <w:spacing w:before="120" w:line="280" w:lineRule="atLeast"/>
              <w:rPr>
                <w:rFonts w:ascii="Times New Roman" w:hAnsi="Times New Roman" w:eastAsia="宋体" w:cs="Times New Roman"/>
                <w:i/>
                <w:iCs/>
                <w:highlight w:val="none"/>
              </w:rPr>
            </w:pPr>
            <w:r>
              <w:rPr>
                <w:rFonts w:ascii="Times New Roman" w:hAnsi="Times New Roman" w:eastAsia="宋体" w:cs="Times New Roman"/>
                <w:i/>
                <w:iCs/>
                <w:highlight w:val="none"/>
              </w:rPr>
              <w:t>RACH optimization for SDT</w:t>
            </w:r>
          </w:p>
          <w:p>
            <w:pPr>
              <w:numPr>
                <w:ilvl w:val="0"/>
                <w:numId w:val="11"/>
              </w:numPr>
              <w:spacing w:before="120" w:line="280" w:lineRule="atLeast"/>
              <w:rPr>
                <w:rFonts w:ascii="Times New Roman" w:hAnsi="Times New Roman" w:eastAsia="宋体" w:cs="Times New Roman"/>
                <w:i/>
                <w:iCs/>
                <w:highlight w:val="none"/>
              </w:rPr>
            </w:pPr>
            <w:r>
              <w:rPr>
                <w:rFonts w:ascii="Times New Roman" w:hAnsi="Times New Roman" w:eastAsia="宋体" w:cs="Times New Roman"/>
                <w:i/>
                <w:iCs/>
                <w:highlight w:val="none"/>
              </w:rPr>
              <w:t>MHI Enhancement for SCG Deactivation/Activation</w:t>
            </w:r>
          </w:p>
          <w:p>
            <w:pPr>
              <w:pStyle w:val="107"/>
              <w:numPr>
                <w:ilvl w:val="0"/>
                <w:numId w:val="11"/>
              </w:numPr>
              <w:spacing w:before="120" w:line="280" w:lineRule="atLeast"/>
              <w:rPr>
                <w:rFonts w:hint="default"/>
                <w:vertAlign w:val="baseline"/>
                <w:lang w:val="en-US" w:eastAsia="zh-CN"/>
              </w:rPr>
            </w:pPr>
            <w:r>
              <w:rPr>
                <w:rFonts w:ascii="Times New Roman" w:hAnsi="Times New Roman" w:eastAsia="宋体" w:cs="Times New Roman"/>
                <w:i/>
                <w:iCs/>
                <w:highlight w:val="none"/>
              </w:rPr>
              <w:t>MRO for MR-DC SCG failure</w:t>
            </w:r>
          </w:p>
        </w:tc>
      </w:tr>
    </w:tbl>
    <w:p>
      <w:pPr>
        <w:overflowPunct/>
        <w:autoSpaceDE/>
        <w:autoSpaceDN/>
        <w:adjustRightInd/>
        <w:spacing w:after="0"/>
        <w:textAlignment w:val="auto"/>
        <w:rPr>
          <w:rFonts w:cs="Arial" w:eastAsiaTheme="minorEastAsia"/>
          <w:lang w:eastAsia="zh-CN"/>
        </w:rPr>
      </w:pP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At RAN3#123bis meeting, RAN3 sent a LS to RAN2 on the feasibility of supporting MRO for MR-DC SCG failure, RAN3 is now awaiting a response to this LS to proceed with the work. Furthermore, in Release 18, RAN2 has discussed some UE MHI enhancements for SCG deactivation/activation, RAN3 can wait for RAN2's final conclusion. This contribution provides discussion on RACH optimization for SDT.</w:t>
      </w:r>
    </w:p>
    <w:p>
      <w:pPr>
        <w:pStyle w:val="3"/>
        <w:numPr>
          <w:ilvl w:val="0"/>
          <w:numId w:val="12"/>
        </w:numPr>
        <w:spacing w:before="120" w:after="120"/>
        <w:rPr>
          <w:rFonts w:hint="eastAsia"/>
          <w:lang w:val="en-US" w:eastAsia="zh-CN"/>
        </w:rPr>
      </w:pPr>
      <w:r>
        <w:rPr>
          <w:rFonts w:hint="eastAsia"/>
          <w:lang w:val="en-US" w:eastAsia="zh-CN"/>
        </w:rPr>
        <w:t>Discussion</w:t>
      </w:r>
    </w:p>
    <w:p>
      <w:pPr>
        <w:pStyle w:val="4"/>
        <w:bidi w:val="0"/>
        <w:rPr>
          <w:rFonts w:hint="default"/>
          <w:lang w:val="en-US" w:eastAsia="zh-CN"/>
        </w:rPr>
      </w:pPr>
      <w:r>
        <w:rPr>
          <w:rFonts w:hint="eastAsia"/>
          <w:lang w:val="en-US" w:eastAsia="zh-CN"/>
        </w:rPr>
        <w:t>RACH optimization for SDT</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 xml:space="preserve">MO-SDT was introduced in Rel-17, a data volume threshold (e.g., sdt-DataVolumeThreshold) and a RSRP threshold (e.g. sdt-RSRP-Threshold) can be broadcast to UE, which can be used for both RACH-based SDT and CG-based SDT. </w:t>
      </w: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If the network configured small data threshold is set too low, or the channel quality falls below the configured threshold, even the UE attempts to initiate MO-SDT, it shall fall back to legacy RACH procedure and switch to RRC connected state for SDT data transmission. It is  beneficial to enhance RA report to include the measured RSRP and actual data volume when SDT attempt fails, which is used for the NW to optimize RACH/CG resources and thresholds of SDT.</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1:  </w:t>
      </w:r>
      <w:r>
        <w:rPr>
          <w:rFonts w:hint="eastAsia" w:eastAsia="宋体" w:cs="Times New Roman"/>
          <w:b/>
          <w:bCs/>
          <w:color w:val="auto"/>
          <w:sz w:val="21"/>
          <w:szCs w:val="21"/>
          <w:lang w:val="en-US" w:eastAsia="zh-CN" w:bidi="ar-SA"/>
        </w:rPr>
        <w:t>W</w:t>
      </w:r>
      <w:r>
        <w:rPr>
          <w:rFonts w:hint="eastAsia" w:ascii="Arial" w:hAnsi="Arial" w:eastAsia="宋体" w:cs="Times New Roman"/>
          <w:b/>
          <w:bCs/>
          <w:color w:val="auto"/>
          <w:sz w:val="21"/>
          <w:szCs w:val="21"/>
          <w:lang w:val="en-US" w:eastAsia="zh-CN" w:bidi="ar-SA"/>
        </w:rPr>
        <w:t xml:space="preserve">hen UE fails to initiate </w:t>
      </w:r>
      <w:r>
        <w:rPr>
          <w:rFonts w:hint="eastAsia" w:eastAsia="宋体" w:cs="Times New Roman"/>
          <w:b/>
          <w:bCs/>
          <w:color w:val="auto"/>
          <w:sz w:val="21"/>
          <w:szCs w:val="21"/>
          <w:lang w:val="en-US" w:eastAsia="zh-CN" w:bidi="ar-SA"/>
        </w:rPr>
        <w:t>MO-</w:t>
      </w:r>
      <w:r>
        <w:rPr>
          <w:rFonts w:hint="eastAsia" w:ascii="Arial" w:hAnsi="Arial" w:eastAsia="宋体" w:cs="Times New Roman"/>
          <w:b/>
          <w:bCs/>
          <w:color w:val="auto"/>
          <w:sz w:val="21"/>
          <w:szCs w:val="21"/>
          <w:lang w:val="en-US" w:eastAsia="zh-CN" w:bidi="ar-SA"/>
        </w:rPr>
        <w:t xml:space="preserve">SDT procedure and a legacy RA is initiated instead, </w:t>
      </w:r>
      <w:r>
        <w:rPr>
          <w:rFonts w:hint="eastAsia" w:eastAsia="宋体" w:cs="Times New Roman"/>
          <w:b/>
          <w:bCs/>
          <w:color w:val="auto"/>
          <w:sz w:val="21"/>
          <w:szCs w:val="21"/>
          <w:lang w:val="en-US" w:eastAsia="zh-CN" w:bidi="ar-SA"/>
        </w:rPr>
        <w:t>it is beneficial to report the m</w:t>
      </w:r>
      <w:r>
        <w:rPr>
          <w:rFonts w:hint="eastAsia" w:ascii="Arial" w:hAnsi="Arial" w:eastAsia="宋体" w:cs="Times New Roman"/>
          <w:b/>
          <w:bCs/>
          <w:color w:val="auto"/>
          <w:sz w:val="21"/>
          <w:szCs w:val="21"/>
          <w:lang w:val="en-US" w:eastAsia="zh-CN" w:bidi="ar-SA"/>
        </w:rPr>
        <w:t>easured RSRP</w:t>
      </w:r>
      <w:r>
        <w:rPr>
          <w:rFonts w:hint="eastAsia" w:eastAsia="宋体" w:cs="Times New Roman"/>
          <w:b/>
          <w:bCs/>
          <w:color w:val="auto"/>
          <w:sz w:val="21"/>
          <w:szCs w:val="21"/>
          <w:lang w:val="en-US" w:eastAsia="zh-CN" w:bidi="ar-SA"/>
        </w:rPr>
        <w:t xml:space="preserve"> and the actual </w:t>
      </w:r>
      <w:r>
        <w:rPr>
          <w:rFonts w:hint="eastAsia" w:ascii="Arial" w:hAnsi="Arial" w:eastAsia="宋体" w:cs="Times New Roman"/>
          <w:b/>
          <w:bCs/>
          <w:color w:val="auto"/>
          <w:sz w:val="21"/>
          <w:szCs w:val="21"/>
          <w:lang w:val="en-US" w:eastAsia="zh-CN" w:bidi="ar-SA"/>
        </w:rPr>
        <w:t>data volume</w:t>
      </w:r>
      <w:r>
        <w:rPr>
          <w:rFonts w:hint="eastAsia" w:eastAsia="宋体" w:cs="Times New Roman"/>
          <w:b/>
          <w:bCs/>
          <w:color w:val="auto"/>
          <w:sz w:val="21"/>
          <w:szCs w:val="21"/>
          <w:lang w:val="en-US" w:eastAsia="zh-CN" w:bidi="ar-SA"/>
        </w:rPr>
        <w:t xml:space="preserve"> into the RA report</w:t>
      </w:r>
      <w:r>
        <w:rPr>
          <w:rFonts w:hint="eastAsia" w:ascii="Arial" w:hAnsi="Arial" w:eastAsia="宋体" w:cs="Times New Roman"/>
          <w:b/>
          <w:bCs/>
          <w:color w:val="auto"/>
          <w:sz w:val="21"/>
          <w:szCs w:val="21"/>
          <w:lang w:val="en-US" w:eastAsia="zh-CN" w:bidi="ar-SA"/>
        </w:rPr>
        <w:t>.</w:t>
      </w:r>
    </w:p>
    <w:p>
      <w:pPr>
        <w:pStyle w:val="2"/>
        <w:rPr>
          <w:rFonts w:hint="default"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However, from our viewpoint, if the RACH-based SDT is successfully initiated, it </w:t>
      </w:r>
      <w:r>
        <w:rPr>
          <w:rFonts w:hint="eastAsia" w:ascii="Calibri" w:hAnsi="Calibri" w:cs="Calibri"/>
          <w:color w:val="auto"/>
          <w:sz w:val="24"/>
          <w:szCs w:val="24"/>
          <w:lang w:val="en-US" w:eastAsia="zh-CN" w:bidi="ar-SA"/>
        </w:rPr>
        <w:t xml:space="preserve">seems </w:t>
      </w:r>
      <w:r>
        <w:rPr>
          <w:rFonts w:hint="default" w:ascii="Calibri" w:hAnsi="Calibri" w:cs="Calibri"/>
          <w:color w:val="auto"/>
          <w:sz w:val="24"/>
          <w:szCs w:val="24"/>
          <w:lang w:val="en-US" w:eastAsia="zh-CN" w:bidi="ar-SA"/>
        </w:rPr>
        <w:t xml:space="preserve">that there </w:t>
      </w:r>
      <w:r>
        <w:rPr>
          <w:rFonts w:hint="eastAsia" w:ascii="Calibri" w:hAnsi="Calibri" w:cs="Calibri"/>
          <w:color w:val="auto"/>
          <w:sz w:val="24"/>
          <w:szCs w:val="24"/>
          <w:lang w:val="en-US" w:eastAsia="zh-CN" w:bidi="ar-SA"/>
        </w:rPr>
        <w:t>is no need</w:t>
      </w:r>
      <w:r>
        <w:rPr>
          <w:rFonts w:hint="default" w:ascii="Calibri" w:hAnsi="Calibri" w:cs="Calibri"/>
          <w:color w:val="auto"/>
          <w:sz w:val="24"/>
          <w:szCs w:val="24"/>
          <w:lang w:val="en-US" w:eastAsia="zh-CN" w:bidi="ar-SA"/>
        </w:rPr>
        <w:t xml:space="preserve"> to include the measured RSRP and </w:t>
      </w:r>
      <w:r>
        <w:rPr>
          <w:rFonts w:hint="eastAsia" w:ascii="Calibri" w:hAnsi="Calibri" w:cs="Calibri"/>
          <w:color w:val="auto"/>
          <w:sz w:val="24"/>
          <w:szCs w:val="24"/>
          <w:lang w:val="en-US" w:eastAsia="zh-CN" w:bidi="ar-SA"/>
        </w:rPr>
        <w:t xml:space="preserve">actual </w:t>
      </w:r>
      <w:r>
        <w:rPr>
          <w:rFonts w:hint="default" w:ascii="Calibri" w:hAnsi="Calibri" w:cs="Calibri"/>
          <w:color w:val="auto"/>
          <w:sz w:val="24"/>
          <w:szCs w:val="24"/>
          <w:lang w:val="en-US" w:eastAsia="zh-CN" w:bidi="ar-SA"/>
        </w:rPr>
        <w:t>data volume in</w:t>
      </w:r>
      <w:r>
        <w:rPr>
          <w:rFonts w:hint="eastAsia" w:ascii="Calibri" w:hAnsi="Calibri" w:cs="Calibri"/>
          <w:color w:val="auto"/>
          <w:sz w:val="24"/>
          <w:szCs w:val="24"/>
          <w:lang w:val="en-US" w:eastAsia="zh-CN" w:bidi="ar-SA"/>
        </w:rPr>
        <w:t>to</w:t>
      </w:r>
      <w:r>
        <w:rPr>
          <w:rFonts w:hint="default" w:ascii="Calibri" w:hAnsi="Calibri" w:cs="Calibri"/>
          <w:color w:val="auto"/>
          <w:sz w:val="24"/>
          <w:szCs w:val="24"/>
          <w:lang w:val="en-US" w:eastAsia="zh-CN" w:bidi="ar-SA"/>
        </w:rPr>
        <w:t xml:space="preserve"> the RA report.</w:t>
      </w:r>
    </w:p>
    <w:p>
      <w:pPr>
        <w:pStyle w:val="2"/>
        <w:rPr>
          <w:rFonts w:hint="default" w:ascii="Calibri" w:hAnsi="Calibri" w:cs="Calibri"/>
          <w:color w:val="auto"/>
          <w:sz w:val="24"/>
          <w:szCs w:val="24"/>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RAN3 to discuss  the necessity of reporting the measured RSRP and actual data volume into the RA report when RACH-based SDT is successfully initiated.</w:t>
      </w: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Additionally, in RAN3 discussion, some companies believe that the UE should also include the threshold values configured by the network in the RA report. We </w:t>
      </w:r>
      <w:r>
        <w:rPr>
          <w:rFonts w:hint="eastAsia" w:ascii="Calibri" w:hAnsi="Calibri" w:cs="Calibri"/>
          <w:color w:val="auto"/>
          <w:sz w:val="24"/>
          <w:szCs w:val="24"/>
          <w:lang w:val="en-US" w:eastAsia="zh-CN" w:bidi="ar-SA"/>
        </w:rPr>
        <w:t xml:space="preserve">think </w:t>
      </w:r>
      <w:r>
        <w:rPr>
          <w:rFonts w:hint="default" w:ascii="Calibri" w:hAnsi="Calibri" w:eastAsia="Times New Roman" w:cs="Calibri"/>
          <w:color w:val="auto"/>
          <w:sz w:val="24"/>
          <w:szCs w:val="24"/>
          <w:lang w:val="en-US" w:eastAsia="zh-CN" w:bidi="ar-SA"/>
        </w:rPr>
        <w:t xml:space="preserve">that the network already has these threshold values. In other words, when the network receives the RA report, in </w:t>
      </w:r>
      <w:r>
        <w:rPr>
          <w:rFonts w:hint="eastAsia" w:ascii="Calibri" w:hAnsi="Calibri" w:cs="Calibri"/>
          <w:color w:val="auto"/>
          <w:sz w:val="24"/>
          <w:szCs w:val="24"/>
          <w:lang w:val="en-US" w:eastAsia="zh-CN" w:bidi="ar-SA"/>
        </w:rPr>
        <w:t>most cases</w:t>
      </w:r>
      <w:r>
        <w:rPr>
          <w:rFonts w:hint="default" w:ascii="Calibri" w:hAnsi="Calibri" w:eastAsia="Times New Roman" w:cs="Calibri"/>
          <w:color w:val="auto"/>
          <w:sz w:val="24"/>
          <w:szCs w:val="24"/>
          <w:lang w:val="en-US" w:eastAsia="zh-CN" w:bidi="ar-SA"/>
        </w:rPr>
        <w:t xml:space="preserve">, the threshold values </w:t>
      </w:r>
      <w:r>
        <w:rPr>
          <w:rFonts w:hint="eastAsia" w:ascii="Calibri" w:hAnsi="Calibri" w:cs="Calibri"/>
          <w:color w:val="auto"/>
          <w:sz w:val="24"/>
          <w:szCs w:val="24"/>
          <w:lang w:val="en-US" w:eastAsia="zh-CN" w:bidi="ar-SA"/>
        </w:rPr>
        <w:t>at</w:t>
      </w:r>
      <w:r>
        <w:rPr>
          <w:rFonts w:hint="default" w:ascii="Calibri" w:hAnsi="Calibri" w:eastAsia="Times New Roman" w:cs="Calibri"/>
          <w:color w:val="auto"/>
          <w:sz w:val="24"/>
          <w:szCs w:val="24"/>
          <w:lang w:val="en-US" w:eastAsia="zh-CN" w:bidi="ar-SA"/>
        </w:rPr>
        <w:t xml:space="preserve"> the network have not changed. Moreover, even if the threshold values on the network have changed, the actual DL RSRP/data volume when SDT attempt fails</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are sufficient to assist the network in optimizing the SDT resources and threshold configuration. Based on </w:t>
      </w:r>
      <w:r>
        <w:rPr>
          <w:rFonts w:hint="eastAsia" w:ascii="Calibri" w:hAnsi="Calibri" w:cs="Calibri"/>
          <w:color w:val="auto"/>
          <w:sz w:val="24"/>
          <w:szCs w:val="24"/>
          <w:lang w:val="en-US" w:eastAsia="zh-CN" w:bidi="ar-SA"/>
        </w:rPr>
        <w:t xml:space="preserve">this </w:t>
      </w:r>
      <w:r>
        <w:rPr>
          <w:rFonts w:hint="default" w:ascii="Calibri" w:hAnsi="Calibri" w:eastAsia="Times New Roman" w:cs="Calibri"/>
          <w:color w:val="auto"/>
          <w:sz w:val="24"/>
          <w:szCs w:val="24"/>
          <w:lang w:val="en-US" w:eastAsia="zh-CN" w:bidi="ar-SA"/>
        </w:rPr>
        <w:t>reason, we believe that the UE does not need to report the threshold.</w:t>
      </w:r>
    </w:p>
    <w:p>
      <w:pPr>
        <w:pStyle w:val="2"/>
        <w:rPr>
          <w:rFonts w:hint="default" w:ascii="Calibri" w:hAnsi="Calibri" w:cs="Calibri"/>
          <w:color w:val="auto"/>
          <w:sz w:val="24"/>
          <w:szCs w:val="24"/>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RAN3 to discuss  the necessity of reporting the RSRP/data threshold into the RA report.</w:t>
      </w: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If the conditions for data volume and DL RSRP are satisfied for MO-SDT (the amount of SDT data awaiting transmission is less than or equal to a configured data volume threshold and the DL RSRP is above a configured RSRP threshold), UE could initiate SDT procedure and first check if there </w:t>
      </w:r>
      <w:r>
        <w:rPr>
          <w:rFonts w:hint="eastAsia" w:ascii="Calibri" w:hAnsi="Calibri" w:cs="Calibri"/>
          <w:color w:val="auto"/>
          <w:sz w:val="24"/>
          <w:szCs w:val="24"/>
          <w:lang w:val="en-US" w:eastAsia="zh-CN" w:bidi="ar-SA"/>
        </w:rPr>
        <w:t>are</w:t>
      </w:r>
      <w:r>
        <w:rPr>
          <w:rFonts w:hint="default" w:ascii="Calibri" w:hAnsi="Calibri" w:eastAsia="Times New Roman" w:cs="Calibri"/>
          <w:color w:val="auto"/>
          <w:sz w:val="24"/>
          <w:szCs w:val="24"/>
          <w:lang w:val="en-US" w:eastAsia="zh-CN" w:bidi="ar-SA"/>
        </w:rPr>
        <w:t xml:space="preserve"> valid CG resources available for SDT. If </w:t>
      </w:r>
      <w:r>
        <w:rPr>
          <w:rFonts w:hint="eastAsia" w:ascii="Calibri" w:hAnsi="Calibri" w:cs="Calibri"/>
          <w:color w:val="auto"/>
          <w:sz w:val="24"/>
          <w:szCs w:val="24"/>
          <w:lang w:val="en-US" w:eastAsia="zh-CN" w:bidi="ar-SA"/>
        </w:rPr>
        <w:t>yes</w:t>
      </w:r>
      <w:r>
        <w:rPr>
          <w:rFonts w:hint="default" w:ascii="Calibri" w:hAnsi="Calibri" w:eastAsia="Times New Roman" w:cs="Calibri"/>
          <w:color w:val="auto"/>
          <w:sz w:val="24"/>
          <w:szCs w:val="24"/>
          <w:lang w:val="en-US" w:eastAsia="zh-CN" w:bidi="ar-SA"/>
        </w:rPr>
        <w:t>,</w:t>
      </w:r>
      <w:r>
        <w:rPr>
          <w:rFonts w:hint="eastAsia" w:ascii="Calibri" w:hAnsi="Calibri" w:cs="Calibri"/>
          <w:color w:val="auto"/>
          <w:sz w:val="24"/>
          <w:szCs w:val="24"/>
          <w:lang w:val="en-US" w:eastAsia="zh-CN" w:bidi="ar-SA"/>
        </w:rPr>
        <w:t xml:space="preserve"> but </w:t>
      </w:r>
      <w:r>
        <w:rPr>
          <w:rFonts w:hint="default" w:ascii="Calibri" w:hAnsi="Calibri" w:eastAsia="Times New Roman" w:cs="Calibri"/>
          <w:color w:val="auto"/>
          <w:sz w:val="24"/>
          <w:szCs w:val="24"/>
          <w:lang w:val="en-US" w:eastAsia="zh-CN" w:bidi="ar-SA"/>
        </w:rPr>
        <w:t>RA is initiated for SDT transmission if the conditions for CG-SDT are not satisfied</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it is essential that CG-SDT related information is included in RA report to let gNB know why CG-SDT is not satisfied. </w:t>
      </w:r>
    </w:p>
    <w:p>
      <w:pPr>
        <w:overflowPunct/>
        <w:autoSpaceDE/>
        <w:autoSpaceDN/>
        <w:adjustRightInd/>
        <w:spacing w:after="0"/>
        <w:textAlignment w:val="auto"/>
        <w:rPr>
          <w:rFonts w:hint="default"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RAN3 should discuss whether there is a need to include CG-SDT related information into RA report (detail FFS),  if UE configured with CG-SDT </w:t>
      </w:r>
      <w:r>
        <w:rPr>
          <w:rFonts w:hint="eastAsia" w:ascii="Arial" w:hAnsi="Arial" w:eastAsia="宋体" w:cs="Times New Roman"/>
          <w:b/>
          <w:bCs/>
          <w:color w:val="auto"/>
          <w:sz w:val="21"/>
          <w:szCs w:val="21"/>
          <w:lang w:val="en-US" w:eastAsia="zh-CN" w:bidi="ar-SA"/>
        </w:rPr>
        <w:t xml:space="preserve"> fails to initiate</w:t>
      </w:r>
      <w:r>
        <w:rPr>
          <w:rFonts w:hint="eastAsia" w:eastAsia="宋体" w:cs="Times New Roman"/>
          <w:b/>
          <w:bCs/>
          <w:color w:val="auto"/>
          <w:sz w:val="21"/>
          <w:szCs w:val="21"/>
          <w:lang w:val="en-US" w:eastAsia="zh-CN" w:bidi="ar-SA"/>
        </w:rPr>
        <w:t xml:space="preserve"> CG-SDT procedure. </w:t>
      </w:r>
    </w:p>
    <w:p>
      <w:pPr>
        <w:pStyle w:val="2"/>
        <w:rPr>
          <w:lang w:eastAsia="zh-CN"/>
        </w:rPr>
      </w:pPr>
      <w:bookmarkStart w:id="0" w:name="_GoBack"/>
      <w:bookmarkEnd w:id="0"/>
    </w:p>
    <w:p>
      <w:pPr>
        <w:pStyle w:val="3"/>
        <w:numPr>
          <w:ilvl w:val="0"/>
          <w:numId w:val="12"/>
        </w:numPr>
        <w:spacing w:before="120" w:after="120"/>
        <w:rPr>
          <w:rFonts w:hint="eastAsia"/>
          <w:lang w:val="en-US" w:eastAsia="zh-CN"/>
        </w:rPr>
      </w:pPr>
      <w:r>
        <w:rPr>
          <w:rFonts w:hint="eastAsia"/>
          <w:lang w:val="en-US" w:eastAsia="zh-CN"/>
        </w:rPr>
        <w:t>Conclusion</w:t>
      </w:r>
    </w:p>
    <w:p>
      <w:pPr>
        <w:pStyle w:val="2"/>
        <w:rPr>
          <w:rFonts w:hint="default" w:ascii="Calibri" w:hAnsi="Calibri" w:eastAsia="Times New Roman"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P</w:t>
      </w:r>
      <w:r>
        <w:rPr>
          <w:rFonts w:hint="eastAsia" w:ascii="Calibri" w:hAnsi="Calibri" w:eastAsia="Times New Roman" w:cs="Calibri"/>
          <w:color w:val="auto"/>
          <w:sz w:val="24"/>
          <w:szCs w:val="24"/>
          <w:u w:val="single"/>
          <w:lang w:val="en-US" w:eastAsia="zh-CN" w:bidi="ar-SA"/>
        </w:rPr>
        <w:t>roposals for RA enhancement for SDT:</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1:  </w:t>
      </w:r>
      <w:r>
        <w:rPr>
          <w:rFonts w:hint="eastAsia" w:eastAsia="宋体" w:cs="Times New Roman"/>
          <w:b/>
          <w:bCs/>
          <w:color w:val="auto"/>
          <w:sz w:val="21"/>
          <w:szCs w:val="21"/>
          <w:lang w:val="en-US" w:eastAsia="zh-CN" w:bidi="ar-SA"/>
        </w:rPr>
        <w:t>W</w:t>
      </w:r>
      <w:r>
        <w:rPr>
          <w:rFonts w:hint="eastAsia" w:ascii="Arial" w:hAnsi="Arial" w:eastAsia="宋体" w:cs="Times New Roman"/>
          <w:b/>
          <w:bCs/>
          <w:color w:val="auto"/>
          <w:sz w:val="21"/>
          <w:szCs w:val="21"/>
          <w:lang w:val="en-US" w:eastAsia="zh-CN" w:bidi="ar-SA"/>
        </w:rPr>
        <w:t xml:space="preserve">hen UE fails to initiate </w:t>
      </w:r>
      <w:r>
        <w:rPr>
          <w:rFonts w:hint="eastAsia" w:eastAsia="宋体" w:cs="Times New Roman"/>
          <w:b/>
          <w:bCs/>
          <w:color w:val="auto"/>
          <w:sz w:val="21"/>
          <w:szCs w:val="21"/>
          <w:lang w:val="en-US" w:eastAsia="zh-CN" w:bidi="ar-SA"/>
        </w:rPr>
        <w:t>MO-</w:t>
      </w:r>
      <w:r>
        <w:rPr>
          <w:rFonts w:hint="eastAsia" w:ascii="Arial" w:hAnsi="Arial" w:eastAsia="宋体" w:cs="Times New Roman"/>
          <w:b/>
          <w:bCs/>
          <w:color w:val="auto"/>
          <w:sz w:val="21"/>
          <w:szCs w:val="21"/>
          <w:lang w:val="en-US" w:eastAsia="zh-CN" w:bidi="ar-SA"/>
        </w:rPr>
        <w:t xml:space="preserve">SDT procedure and a legacy RA is initiated instead, </w:t>
      </w:r>
      <w:r>
        <w:rPr>
          <w:rFonts w:hint="eastAsia" w:eastAsia="宋体" w:cs="Times New Roman"/>
          <w:b/>
          <w:bCs/>
          <w:color w:val="auto"/>
          <w:sz w:val="21"/>
          <w:szCs w:val="21"/>
          <w:lang w:val="en-US" w:eastAsia="zh-CN" w:bidi="ar-SA"/>
        </w:rPr>
        <w:t>it is beneficial to report the m</w:t>
      </w:r>
      <w:r>
        <w:rPr>
          <w:rFonts w:hint="eastAsia" w:ascii="Arial" w:hAnsi="Arial" w:eastAsia="宋体" w:cs="Times New Roman"/>
          <w:b/>
          <w:bCs/>
          <w:color w:val="auto"/>
          <w:sz w:val="21"/>
          <w:szCs w:val="21"/>
          <w:lang w:val="en-US" w:eastAsia="zh-CN" w:bidi="ar-SA"/>
        </w:rPr>
        <w:t>easured RSRP</w:t>
      </w:r>
      <w:r>
        <w:rPr>
          <w:rFonts w:hint="eastAsia" w:eastAsia="宋体" w:cs="Times New Roman"/>
          <w:b/>
          <w:bCs/>
          <w:color w:val="auto"/>
          <w:sz w:val="21"/>
          <w:szCs w:val="21"/>
          <w:lang w:val="en-US" w:eastAsia="zh-CN" w:bidi="ar-SA"/>
        </w:rPr>
        <w:t xml:space="preserve"> and the actual </w:t>
      </w:r>
      <w:r>
        <w:rPr>
          <w:rFonts w:hint="eastAsia" w:ascii="Arial" w:hAnsi="Arial" w:eastAsia="宋体" w:cs="Times New Roman"/>
          <w:b/>
          <w:bCs/>
          <w:color w:val="auto"/>
          <w:sz w:val="21"/>
          <w:szCs w:val="21"/>
          <w:lang w:val="en-US" w:eastAsia="zh-CN" w:bidi="ar-SA"/>
        </w:rPr>
        <w:t>data volume</w:t>
      </w:r>
      <w:r>
        <w:rPr>
          <w:rFonts w:hint="eastAsia" w:eastAsia="宋体" w:cs="Times New Roman"/>
          <w:b/>
          <w:bCs/>
          <w:color w:val="auto"/>
          <w:sz w:val="21"/>
          <w:szCs w:val="21"/>
          <w:lang w:val="en-US" w:eastAsia="zh-CN" w:bidi="ar-SA"/>
        </w:rPr>
        <w:t xml:space="preserve"> into the RA report</w:t>
      </w:r>
      <w:r>
        <w:rPr>
          <w:rFonts w:hint="eastAsia" w:ascii="Arial" w:hAnsi="Arial" w:eastAsia="宋体" w:cs="Times New Roman"/>
          <w:b/>
          <w:bCs/>
          <w:color w:val="auto"/>
          <w:sz w:val="21"/>
          <w:szCs w:val="21"/>
          <w:lang w:val="en-US" w:eastAsia="zh-CN" w:bidi="ar-SA"/>
        </w:rPr>
        <w:t>.</w:t>
      </w:r>
    </w:p>
    <w:p>
      <w:pPr>
        <w:pStyle w:val="2"/>
        <w:rPr>
          <w:rFonts w:hint="default" w:ascii="Calibri" w:hAnsi="Calibri" w:cs="Calibri"/>
          <w:color w:val="auto"/>
          <w:sz w:val="24"/>
          <w:szCs w:val="24"/>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RAN3 to discuss  the necessity of reporting the measured RSRP and actual data volume into the RA report when RACH-based SDT is successfully initiated.</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RAN3 to discuss  the necessity of reporting the RSRP/data threshold into the RA report.</w:t>
      </w:r>
    </w:p>
    <w:p>
      <w:pPr>
        <w:overflowPunct/>
        <w:autoSpaceDE/>
        <w:autoSpaceDN/>
        <w:adjustRightInd/>
        <w:spacing w:after="0"/>
        <w:textAlignment w:val="auto"/>
        <w:rPr>
          <w:rFonts w:hint="default"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RAN3 should discuss whether there is a need to include CG-SDT related information into RA report (detail FFS),  if UE configured with CG-SDT </w:t>
      </w:r>
      <w:r>
        <w:rPr>
          <w:rFonts w:hint="eastAsia" w:ascii="Arial" w:hAnsi="Arial" w:eastAsia="宋体" w:cs="Times New Roman"/>
          <w:b/>
          <w:bCs/>
          <w:color w:val="auto"/>
          <w:sz w:val="21"/>
          <w:szCs w:val="21"/>
          <w:lang w:val="en-US" w:eastAsia="zh-CN" w:bidi="ar-SA"/>
        </w:rPr>
        <w:t xml:space="preserve"> fails to initiate</w:t>
      </w:r>
      <w:r>
        <w:rPr>
          <w:rFonts w:hint="eastAsia" w:eastAsia="宋体" w:cs="Times New Roman"/>
          <w:b/>
          <w:bCs/>
          <w:color w:val="auto"/>
          <w:sz w:val="21"/>
          <w:szCs w:val="21"/>
          <w:lang w:val="en-US" w:eastAsia="zh-CN" w:bidi="ar-SA"/>
        </w:rPr>
        <w:t xml:space="preserve"> CG-SDT procedure. </w:t>
      </w:r>
    </w:p>
    <w:p>
      <w:pPr>
        <w:pStyle w:val="2"/>
        <w:rPr>
          <w:rFonts w:hint="default" w:eastAsia="宋体" w:cs="Times New Roman"/>
          <w:b/>
          <w:bCs/>
          <w:color w:val="auto"/>
          <w:sz w:val="21"/>
          <w:szCs w:val="21"/>
          <w:lang w:val="en-US" w:eastAsia="zh-CN" w:bidi="ar-SA"/>
        </w:rPr>
      </w:pPr>
    </w:p>
    <w:p>
      <w:pPr>
        <w:pStyle w:val="2"/>
        <w:rPr>
          <w:rFonts w:hint="default" w:eastAsia="宋体" w:cs="Times New Roman"/>
          <w:b/>
          <w:bCs/>
          <w:color w:val="auto"/>
          <w:sz w:val="21"/>
          <w:szCs w:val="21"/>
          <w:lang w:val="en-US" w:eastAsia="zh-CN" w:bidi="ar-SA"/>
        </w:rPr>
      </w:pPr>
    </w:p>
    <w:p>
      <w:pPr>
        <w:pStyle w:val="2"/>
        <w:rPr>
          <w:rFonts w:hint="eastAsia" w:ascii="Calibri" w:hAnsi="Calibri" w:cs="Calibri"/>
          <w:color w:val="auto"/>
          <w:sz w:val="24"/>
          <w:szCs w:val="24"/>
          <w:u w:val="single"/>
          <w:lang w:val="en-US" w:eastAsia="zh-CN" w:bidi="ar-SA"/>
        </w:rPr>
      </w:pPr>
    </w:p>
    <w:p>
      <w:pPr>
        <w:pStyle w:val="2"/>
        <w:rPr>
          <w:rFonts w:hint="default" w:cs="Times New Roman"/>
          <w:color w:val="auto"/>
          <w:lang w:val="en-US" w:eastAsia="zh-CN" w:bidi="ar-SA"/>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961EDE"/>
    <w:multiLevelType w:val="singleLevel"/>
    <w:tmpl w:val="D6961EDE"/>
    <w:lvl w:ilvl="0" w:tentative="0">
      <w:start w:val="2"/>
      <w:numFmt w:val="decimal"/>
      <w:lvlText w:val="%1"/>
      <w:lvlJc w:val="left"/>
    </w:lvl>
  </w:abstractNum>
  <w:abstractNum w:abstractNumId="1">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2">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6">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7"/>
  </w:num>
  <w:num w:numId="4">
    <w:abstractNumId w:val="1"/>
  </w:num>
  <w:num w:numId="5">
    <w:abstractNumId w:val="3"/>
  </w:num>
  <w:num w:numId="6">
    <w:abstractNumId w:val="4"/>
  </w:num>
  <w:num w:numId="7">
    <w:abstractNumId w:val="9"/>
  </w:num>
  <w:num w:numId="8">
    <w:abstractNumId w:val="2"/>
  </w:num>
  <w:num w:numId="9">
    <w:abstractNumId w:val="11"/>
  </w:num>
  <w:num w:numId="10">
    <w:abstractNumId w:val="6"/>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99488A"/>
    <w:rsid w:val="02BC0EFA"/>
    <w:rsid w:val="03434282"/>
    <w:rsid w:val="037A1943"/>
    <w:rsid w:val="041B7488"/>
    <w:rsid w:val="05DC112D"/>
    <w:rsid w:val="078129DF"/>
    <w:rsid w:val="090E377A"/>
    <w:rsid w:val="0933642F"/>
    <w:rsid w:val="0A937AE7"/>
    <w:rsid w:val="0B09299E"/>
    <w:rsid w:val="0D41033B"/>
    <w:rsid w:val="0DD15D3A"/>
    <w:rsid w:val="13C46D70"/>
    <w:rsid w:val="14ED4E63"/>
    <w:rsid w:val="155C05CA"/>
    <w:rsid w:val="15685244"/>
    <w:rsid w:val="15D46C53"/>
    <w:rsid w:val="16DB6C0C"/>
    <w:rsid w:val="17672074"/>
    <w:rsid w:val="17752F7D"/>
    <w:rsid w:val="177A4F52"/>
    <w:rsid w:val="177F291A"/>
    <w:rsid w:val="17DF01D3"/>
    <w:rsid w:val="185F480A"/>
    <w:rsid w:val="1B983770"/>
    <w:rsid w:val="1E81151C"/>
    <w:rsid w:val="1FAE61A2"/>
    <w:rsid w:val="20857668"/>
    <w:rsid w:val="21AF5E51"/>
    <w:rsid w:val="21B57D5A"/>
    <w:rsid w:val="226C1A87"/>
    <w:rsid w:val="229067C3"/>
    <w:rsid w:val="22A81B30"/>
    <w:rsid w:val="22CE0575"/>
    <w:rsid w:val="23503E27"/>
    <w:rsid w:val="238D4F24"/>
    <w:rsid w:val="24D17434"/>
    <w:rsid w:val="251A5054"/>
    <w:rsid w:val="26D608D1"/>
    <w:rsid w:val="29337116"/>
    <w:rsid w:val="2A3761D9"/>
    <w:rsid w:val="2AC90642"/>
    <w:rsid w:val="2AD718F9"/>
    <w:rsid w:val="2B1E1178"/>
    <w:rsid w:val="2BC70258"/>
    <w:rsid w:val="2DA42F6E"/>
    <w:rsid w:val="2E7632C6"/>
    <w:rsid w:val="2EBD0FE3"/>
    <w:rsid w:val="31C857C5"/>
    <w:rsid w:val="3271734E"/>
    <w:rsid w:val="33146FFA"/>
    <w:rsid w:val="346C5312"/>
    <w:rsid w:val="353F2ED0"/>
    <w:rsid w:val="35FC5CDA"/>
    <w:rsid w:val="361608D1"/>
    <w:rsid w:val="3697072A"/>
    <w:rsid w:val="36B018E4"/>
    <w:rsid w:val="36CE5325"/>
    <w:rsid w:val="37D30012"/>
    <w:rsid w:val="38715C39"/>
    <w:rsid w:val="3C6B7B28"/>
    <w:rsid w:val="3DB85870"/>
    <w:rsid w:val="3E0F406B"/>
    <w:rsid w:val="3E335A8E"/>
    <w:rsid w:val="40DF57B3"/>
    <w:rsid w:val="41A945C9"/>
    <w:rsid w:val="42C53A9C"/>
    <w:rsid w:val="44F53D30"/>
    <w:rsid w:val="46085C4D"/>
    <w:rsid w:val="462C1916"/>
    <w:rsid w:val="46674838"/>
    <w:rsid w:val="4750695B"/>
    <w:rsid w:val="48D52AE9"/>
    <w:rsid w:val="493D7EB8"/>
    <w:rsid w:val="49483D85"/>
    <w:rsid w:val="4C064611"/>
    <w:rsid w:val="4D5F057C"/>
    <w:rsid w:val="4E895E7E"/>
    <w:rsid w:val="514B62D8"/>
    <w:rsid w:val="520D7F1F"/>
    <w:rsid w:val="5397791C"/>
    <w:rsid w:val="53FE11A2"/>
    <w:rsid w:val="5498365B"/>
    <w:rsid w:val="556E6279"/>
    <w:rsid w:val="564E529E"/>
    <w:rsid w:val="57C0559C"/>
    <w:rsid w:val="585225F3"/>
    <w:rsid w:val="58597995"/>
    <w:rsid w:val="58CF5440"/>
    <w:rsid w:val="58F40317"/>
    <w:rsid w:val="5B8E5344"/>
    <w:rsid w:val="5C4121CC"/>
    <w:rsid w:val="5D406F09"/>
    <w:rsid w:val="5D9F2A1E"/>
    <w:rsid w:val="5E7A57D9"/>
    <w:rsid w:val="5EA65556"/>
    <w:rsid w:val="60243CAF"/>
    <w:rsid w:val="629B24FB"/>
    <w:rsid w:val="634C5EAC"/>
    <w:rsid w:val="64370627"/>
    <w:rsid w:val="66433CD3"/>
    <w:rsid w:val="67E64CF1"/>
    <w:rsid w:val="68E93B31"/>
    <w:rsid w:val="69016E0C"/>
    <w:rsid w:val="69136070"/>
    <w:rsid w:val="69BB34A3"/>
    <w:rsid w:val="6A421FE5"/>
    <w:rsid w:val="6B675B07"/>
    <w:rsid w:val="6BFF1D07"/>
    <w:rsid w:val="6C62044F"/>
    <w:rsid w:val="70FD4F33"/>
    <w:rsid w:val="71705FC9"/>
    <w:rsid w:val="73852935"/>
    <w:rsid w:val="75885C21"/>
    <w:rsid w:val="7623126D"/>
    <w:rsid w:val="76394804"/>
    <w:rsid w:val="769F26E3"/>
    <w:rsid w:val="79345466"/>
    <w:rsid w:val="79CA2BFE"/>
    <w:rsid w:val="7AB50B0C"/>
    <w:rsid w:val="7AFC0E37"/>
    <w:rsid w:val="7C677196"/>
    <w:rsid w:val="7D7E0172"/>
    <w:rsid w:val="7D894AA5"/>
    <w:rsid w:val="7E414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datastoreItem>
</file>

<file path=customXml/itemProps2.xml><?xml version="1.0" encoding="utf-8"?>
<ds:datastoreItem xmlns:ds="http://schemas.openxmlformats.org/officeDocument/2006/customXml" ds:itemID="{CF43747F-FDDF-4B81-8892-9D32FF04C960}">
  <ds:schemaRefs/>
</ds:datastoreItem>
</file>

<file path=customXml/itemProps3.xml><?xml version="1.0" encoding="utf-8"?>
<ds:datastoreItem xmlns:ds="http://schemas.openxmlformats.org/officeDocument/2006/customXml" ds:itemID="{DBD1373D-E157-4BD5-96E1-C57BD7F0CB26}">
  <ds:schemaRefs/>
</ds:datastoreItem>
</file>

<file path=customXml/itemProps4.xml><?xml version="1.0" encoding="utf-8"?>
<ds:datastoreItem xmlns:ds="http://schemas.openxmlformats.org/officeDocument/2006/customXml" ds:itemID="{D3E347A6-99F7-4393-BC43-7C8E85653A27}">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2</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2024-05-10T04:26:16Z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AA6E5C8F423B4EB18A662B73B3A0517A</vt:lpwstr>
  </property>
</Properties>
</file>